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Active Employee Feed: </w:t>
      </w:r>
    </w:p>
    <w:p w:rsidR="00000000" w:rsidDel="00000000" w:rsidP="00000000" w:rsidRDefault="00000000" w:rsidRPr="00000000" w14:paraId="0000000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The active employee feed allows ERIN to enable automations such as checking to ensure employees/referrals are still actively employed before a payment is issued, a way to pass metadata about the employee for reporting, and automating exclusion rules (that will come from your bonus policies). </w:t>
      </w:r>
    </w:p>
    <w:p w:rsidR="00000000" w:rsidDel="00000000" w:rsidP="00000000" w:rsidRDefault="00000000" w:rsidRPr="00000000" w14:paraId="0000000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Employee ID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Email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First Name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Last Name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Job Title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Employee Type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Country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Sub-Company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Department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ATS id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Start Date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DOB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Candidate Feed: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before="200" w:lineRule="auto"/>
        <w:ind w:left="940" w:hanging="360"/>
      </w:pPr>
      <w:r w:rsidDel="00000000" w:rsidR="00000000" w:rsidRPr="00000000">
        <w:rPr>
          <w:rtl w:val="0"/>
        </w:rPr>
        <w:t xml:space="preserve">Candidate Email Address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Candidate First Name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Candidate Last Name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Requisition Applied To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Current Status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Hire Date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Start Date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20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Candidate Req ID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Job Feed: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before="20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Req ID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Job Title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Location City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Location State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Location Country (optional)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Job Department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Job Description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20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Job URL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